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8B3EF2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9C6647" w:rsidRDefault="009C6647" w:rsidP="009C664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be able to liaise with offshore operations. The offshore operations may be static, such as a drilling rig</w:t>
            </w:r>
            <w:r w:rsidR="00572D38">
              <w:t>,</w:t>
            </w:r>
            <w:r>
              <w:t xml:space="preserve"> or mobile, such as survey work or laying a pipeline.</w:t>
            </w:r>
          </w:p>
          <w:p w:rsidR="009C6647" w:rsidRDefault="009C6647" w:rsidP="009C664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9C6647" w:rsidRDefault="009C6647" w:rsidP="009C664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Fishing operations may be already established in some areas with static gear, such as set nets or pots and trawlers. Purse seiners or other fishing vessels may visit the</w:t>
            </w:r>
            <w:r w:rsidR="000249D3">
              <w:t xml:space="preserve"> area.</w:t>
            </w:r>
          </w:p>
          <w:p w:rsidR="009C6647" w:rsidRDefault="009C6647" w:rsidP="009C664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510DC9" w:rsidRPr="00510DC9" w:rsidRDefault="00510DC9" w:rsidP="009C6647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9C6647" w:rsidRDefault="009C6647" w:rsidP="009C664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managerial level with good skills of communication and competence in maintaining documentation to stringent requirements.</w:t>
            </w:r>
          </w:p>
          <w:p w:rsidR="009C6647" w:rsidRDefault="009C6647" w:rsidP="009C664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9C664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8B3EF2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974ACA" w:rsidRDefault="00974ACA" w:rsidP="00974ACA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974ACA" w:rsidRDefault="00974ACA" w:rsidP="00974ACA">
            <w:pPr>
              <w:pStyle w:val="NOSBodyHeading"/>
              <w:spacing w:line="276" w:lineRule="auto"/>
              <w:rPr>
                <w:b w:val="0"/>
              </w:rPr>
            </w:pPr>
          </w:p>
          <w:p w:rsidR="00974ACA" w:rsidRDefault="00974ACA" w:rsidP="00974ACA">
            <w:pPr>
              <w:pStyle w:val="NOSBodyHeading"/>
              <w:spacing w:line="276" w:lineRule="auto"/>
              <w:rPr>
                <w:b w:val="0"/>
              </w:rPr>
            </w:pP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974ACA">
              <w:rPr>
                <w:b w:val="0"/>
              </w:rPr>
              <w:t>onsult with fishing and offshore personnel about proposed activities in a manner which encourages frank discussion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d</w:t>
            </w:r>
            <w:r w:rsidR="00974ACA">
              <w:rPr>
                <w:b w:val="0"/>
              </w:rPr>
              <w:t>evelop plans to meet the needs of the proposed activity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974ACA">
              <w:rPr>
                <w:b w:val="0"/>
              </w:rPr>
              <w:t>nform fishing and offshore personnel about plans and activities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d</w:t>
            </w:r>
            <w:r w:rsidR="00974ACA">
              <w:rPr>
                <w:b w:val="0"/>
              </w:rPr>
              <w:t>eal with fishing and offshore personnel in a manner which shows respect for individuals and the need for confidentiality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g</w:t>
            </w:r>
            <w:r w:rsidR="00974ACA">
              <w:rPr>
                <w:b w:val="0"/>
              </w:rPr>
              <w:t>ive fishing and offshore personnel sufficient support for them to achieve their work objectives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974ACA">
              <w:rPr>
                <w:b w:val="0"/>
              </w:rPr>
              <w:t>reate and maintain productive working relationships between vessels and personnel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b</w:t>
            </w:r>
            <w:r w:rsidR="00974ACA">
              <w:rPr>
                <w:b w:val="0"/>
              </w:rPr>
              <w:t>roadcast information and warnings to fishing vessels, other vessels and offshore personnel about current and future activities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974ACA">
              <w:rPr>
                <w:b w:val="0"/>
              </w:rPr>
              <w:t>ake action promptly to deal with conflict between fishing and project personnel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974ACA">
              <w:rPr>
                <w:b w:val="0"/>
              </w:rPr>
              <w:t>esolve conflict in a way which minimises disruption to work and discord between fishing and offshore personnel and complies with organisational and legal requirements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974ACA">
              <w:rPr>
                <w:b w:val="0"/>
              </w:rPr>
              <w:t>ake recommendations promptly for improving procedures and reducing the potential for conflict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974ACA">
              <w:rPr>
                <w:b w:val="0"/>
              </w:rPr>
              <w:t>se specialised fishing knowledge to provide advice and information which is accurate, current, relevant and consistent with the employing organisation's policy, procedures and resource constraints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974ACA">
              <w:rPr>
                <w:b w:val="0"/>
              </w:rPr>
              <w:t>ecord and store information about fishing and offshore operations to meet commercial, operational and legislative requirements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974ACA">
              <w:rPr>
                <w:b w:val="0"/>
              </w:rPr>
              <w:t>ake accurate records of conflicts and their outcomes, which comply with legislation, confidentiality and organisational policies</w:t>
            </w:r>
          </w:p>
          <w:p w:rsidR="00974ACA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974ACA">
              <w:rPr>
                <w:b w:val="0"/>
              </w:rPr>
              <w:t>ake information available only to authorised people</w:t>
            </w:r>
          </w:p>
          <w:p w:rsidR="003C6D88" w:rsidRPr="001B0A7B" w:rsidRDefault="00510DC9" w:rsidP="00974A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974ACA">
              <w:rPr>
                <w:b w:val="0"/>
              </w:rPr>
              <w:t>rovide reports at the required time to meet commercial, operational and legislative requirements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8B3EF2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4A1189" w:rsidRDefault="004A1189" w:rsidP="004A1189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4A1189" w:rsidRDefault="004A1189" w:rsidP="004A1189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4A1189" w:rsidRPr="001B0A7B" w:rsidRDefault="004A1189" w:rsidP="004A1189">
            <w:pPr>
              <w:pStyle w:val="NOSBodyHeading"/>
              <w:spacing w:line="276" w:lineRule="auto"/>
              <w:rPr>
                <w:b w:val="0"/>
              </w:rPr>
            </w:pPr>
          </w:p>
          <w:p w:rsidR="004A1189" w:rsidRPr="001B0A7B" w:rsidRDefault="00510DC9" w:rsidP="004A118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f</w:t>
            </w:r>
            <w:r w:rsidR="004A1189">
              <w:rPr>
                <w:rFonts w:cs="Arial"/>
                <w:b w:val="0"/>
              </w:rPr>
              <w:t>ishing methods and vessel types</w:t>
            </w:r>
          </w:p>
          <w:p w:rsidR="004A1189" w:rsidRPr="001B0A7B" w:rsidRDefault="00510DC9" w:rsidP="004A118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r</w:t>
            </w:r>
            <w:r w:rsidR="004A1189">
              <w:rPr>
                <w:rFonts w:cs="Arial"/>
                <w:b w:val="0"/>
              </w:rPr>
              <w:t>adio communications and shipboard equipment</w:t>
            </w:r>
          </w:p>
          <w:p w:rsidR="004A1189" w:rsidRPr="001B0A7B" w:rsidRDefault="00510DC9" w:rsidP="004A118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s</w:t>
            </w:r>
            <w:r w:rsidR="004A1189">
              <w:rPr>
                <w:rFonts w:cs="Arial"/>
                <w:b w:val="0"/>
              </w:rPr>
              <w:t>trategies and styles of working which encourage effective working relationships</w:t>
            </w:r>
          </w:p>
          <w:p w:rsidR="004A1189" w:rsidRPr="001B0A7B" w:rsidRDefault="00510DC9" w:rsidP="004A118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m</w:t>
            </w:r>
            <w:r w:rsidR="004A1189">
              <w:rPr>
                <w:rFonts w:cs="Arial"/>
                <w:b w:val="0"/>
              </w:rPr>
              <w:t>ethods of handling disagreements between fishing and offshore personnel in a constructive manner</w:t>
            </w:r>
          </w:p>
          <w:p w:rsidR="004A1189" w:rsidRPr="001B0A7B" w:rsidRDefault="00510DC9" w:rsidP="004A118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4A1189">
              <w:rPr>
                <w:rFonts w:cs="Arial"/>
                <w:b w:val="0"/>
              </w:rPr>
              <w:t>ow to develop and present proposals in ways which are achievable, clear and likely to influence fishing and offshore personnel positively</w:t>
            </w:r>
          </w:p>
          <w:p w:rsidR="004A1189" w:rsidRPr="001B0A7B" w:rsidRDefault="00510DC9" w:rsidP="004A118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4A1189">
              <w:rPr>
                <w:rFonts w:cs="Arial"/>
                <w:b w:val="0"/>
              </w:rPr>
              <w:t>ow to give information and advice effectively, both orally and in writing</w:t>
            </w:r>
          </w:p>
          <w:p w:rsidR="004A1189" w:rsidRPr="001B0A7B" w:rsidRDefault="00510DC9" w:rsidP="004A118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4A1189">
              <w:rPr>
                <w:rFonts w:cs="Arial"/>
                <w:b w:val="0"/>
              </w:rPr>
              <w:t>ow to provide feedback in a way which will lead to a constructive outcome</w:t>
            </w:r>
          </w:p>
          <w:p w:rsidR="004A1189" w:rsidRPr="001B0A7B" w:rsidRDefault="00510DC9" w:rsidP="004A118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4A1189">
              <w:rPr>
                <w:rFonts w:cs="Arial"/>
                <w:b w:val="0"/>
              </w:rPr>
              <w:t>ow to obtain information of vessel movements using radar</w:t>
            </w:r>
          </w:p>
          <w:p w:rsidR="004A1189" w:rsidRPr="001B0A7B" w:rsidRDefault="004A1189" w:rsidP="004A118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UKOOA Fisheries Liaison Guidelines</w:t>
            </w:r>
          </w:p>
          <w:p w:rsidR="004A1189" w:rsidRPr="001B0A7B" w:rsidRDefault="00510DC9" w:rsidP="004A118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proofErr w:type="gramStart"/>
            <w:r>
              <w:rPr>
                <w:rFonts w:cs="Arial"/>
                <w:b w:val="0"/>
              </w:rPr>
              <w:t>t</w:t>
            </w:r>
            <w:r w:rsidR="004A1189">
              <w:rPr>
                <w:rFonts w:cs="Arial"/>
                <w:b w:val="0"/>
              </w:rPr>
              <w:t>he</w:t>
            </w:r>
            <w:proofErr w:type="gramEnd"/>
            <w:r w:rsidR="004A1189">
              <w:rPr>
                <w:rFonts w:cs="Arial"/>
                <w:b w:val="0"/>
              </w:rPr>
              <w:t xml:space="preserve"> application of statutory regulations and guidelines, organisational instructions and guidance and vessel contingency plans.</w:t>
            </w:r>
          </w:p>
          <w:p w:rsidR="00006091" w:rsidRPr="001B0A7B" w:rsidRDefault="00006091" w:rsidP="004A1189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FE3A3F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B3EF2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510DC9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B3EF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031376" w:rsidP="00510DC9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510DC9" w:rsidRPr="004E05F7" w:rsidRDefault="00510DC9" w:rsidP="00510DC9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8B3EF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031376" w:rsidP="00510DC9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proofErr w:type="spellStart"/>
            <w:r>
              <w:rPr>
                <w:color w:val="221E1F"/>
              </w:rPr>
              <w:t>Decemebr</w:t>
            </w:r>
            <w:proofErr w:type="spellEnd"/>
            <w:r>
              <w:rPr>
                <w:color w:val="221E1F"/>
              </w:rPr>
              <w:t xml:space="preserve"> 2016</w:t>
            </w:r>
            <w:bookmarkStart w:id="18" w:name="endindicativereview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B3EF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8D73AE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B3EF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8D73AE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8B3EF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510DC9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B3EF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031376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614ACC">
              <w:rPr>
                <w:color w:val="221E1F"/>
              </w:rPr>
              <w:t>D10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8B3EF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614ACC" w:rsidRDefault="00614ACC" w:rsidP="00614ACC">
            <w:pPr>
              <w:rPr>
                <w:rFonts w:ascii="Arial" w:hAnsi="Arial" w:cs="Arial"/>
                <w:color w:val="221E1F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r>
              <w:rPr>
                <w:rFonts w:ascii="Arial" w:hAnsi="Arial" w:cs="Arial"/>
                <w:color w:val="221E1F"/>
              </w:rPr>
              <w:t>; fisherman</w:t>
            </w:r>
            <w:bookmarkStart w:id="29" w:name="end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B3EF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510DC9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B3EF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614ACC" w:rsidRDefault="00614ACC" w:rsidP="00614ACC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32" w:name="StartKeywords"/>
            <w:bookmarkEnd w:id="32"/>
            <w:r>
              <w:t>Liaise; offshore operations; static; drilling rig; mobile; survey work; laying a pipeline; fishing operations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3" w:name="EndKeywords"/>
            <w:bookmarkEnd w:id="33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031376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031376">
      <w:rPr>
        <w:rFonts w:ascii="Arial" w:eastAsiaTheme="minorHAnsi" w:hAnsi="Arial" w:cs="Arial"/>
        <w:noProof/>
        <w:sz w:val="14"/>
        <w:szCs w:val="14"/>
      </w:rPr>
      <w:t>MSA D10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031376">
      <w:rPr>
        <w:rFonts w:ascii="Arial" w:eastAsiaTheme="minorHAnsi" w:hAnsi="Arial" w:cs="Arial"/>
        <w:noProof/>
        <w:sz w:val="14"/>
        <w:szCs w:val="14"/>
      </w:rPr>
      <w:t>Carry out fisheries liaison duties on board ship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8B3EF2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8B3EF2" w:rsidRPr="008C0064">
      <w:rPr>
        <w:rFonts w:ascii="Arial" w:hAnsi="Arial" w:cs="Arial"/>
        <w:sz w:val="14"/>
        <w:szCs w:val="14"/>
      </w:rPr>
      <w:fldChar w:fldCharType="separate"/>
    </w:r>
    <w:r w:rsidR="004E07CA">
      <w:rPr>
        <w:rFonts w:ascii="Arial" w:hAnsi="Arial" w:cs="Arial"/>
        <w:noProof/>
        <w:sz w:val="14"/>
        <w:szCs w:val="14"/>
      </w:rPr>
      <w:t>4</w:t>
    </w:r>
    <w:r w:rsidR="008B3EF2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031376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031376">
      <w:rPr>
        <w:rFonts w:ascii="Arial" w:eastAsiaTheme="minorHAnsi" w:hAnsi="Arial" w:cs="Arial"/>
        <w:noProof/>
        <w:sz w:val="14"/>
        <w:szCs w:val="14"/>
      </w:rPr>
      <w:t>MSA D10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031376">
      <w:rPr>
        <w:rFonts w:ascii="Arial" w:eastAsiaTheme="minorHAnsi" w:hAnsi="Arial" w:cs="Arial"/>
        <w:noProof/>
        <w:sz w:val="14"/>
        <w:szCs w:val="14"/>
      </w:rPr>
      <w:t>Carry out fisheries liaison duties on board ship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8B3EF2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8B3EF2" w:rsidRPr="008C0064">
      <w:rPr>
        <w:rFonts w:ascii="Arial" w:hAnsi="Arial" w:cs="Arial"/>
        <w:sz w:val="14"/>
        <w:szCs w:val="14"/>
      </w:rPr>
      <w:fldChar w:fldCharType="separate"/>
    </w:r>
    <w:r w:rsidR="004E07CA">
      <w:rPr>
        <w:rFonts w:ascii="Arial" w:hAnsi="Arial" w:cs="Arial"/>
        <w:noProof/>
        <w:sz w:val="14"/>
        <w:szCs w:val="14"/>
      </w:rPr>
      <w:t>1</w:t>
    </w:r>
    <w:r w:rsidR="008B3EF2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8B3EF2" w:rsidP="002063F2">
    <w:pPr>
      <w:tabs>
        <w:tab w:val="left" w:pos="7140"/>
      </w:tabs>
    </w:pPr>
    <w:r w:rsidRPr="008B3EF2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614ACC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510DC9">
      <w:rPr>
        <w:rFonts w:ascii="Arial" w:eastAsiaTheme="minorHAnsi" w:hAnsi="Arial" w:cs="Arial"/>
        <w:b/>
        <w:noProof/>
        <w:sz w:val="32"/>
        <w:szCs w:val="32"/>
      </w:rPr>
      <w:t>D10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9C6647">
      <w:rPr>
        <w:rFonts w:ascii="Arial" w:eastAsiaTheme="minorHAnsi" w:hAnsi="Arial" w:cs="Arial"/>
        <w:noProof/>
        <w:sz w:val="32"/>
        <w:szCs w:val="32"/>
      </w:rPr>
      <w:t>Carry out fisheries liaison duties on board ship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614ACC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510DC9">
            <w:rPr>
              <w:rFonts w:ascii="Arial" w:hAnsi="Arial" w:cs="Arial"/>
              <w:b/>
              <w:sz w:val="32"/>
              <w:szCs w:val="32"/>
            </w:rPr>
            <w:t>D10</w:t>
          </w:r>
        </w:p>
        <w:p w:rsidR="009A1F82" w:rsidRPr="00DF70EE" w:rsidRDefault="009C6647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Carry out fisheries liaison duties on board ship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8B3EF2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D703C4"/>
    <w:multiLevelType w:val="multilevel"/>
    <w:tmpl w:val="81760BC8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E916F7"/>
    <w:multiLevelType w:val="multilevel"/>
    <w:tmpl w:val="2534A55E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6B0C71"/>
    <w:multiLevelType w:val="multilevel"/>
    <w:tmpl w:val="F050D86A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12"/>
  </w:num>
  <w:num w:numId="6">
    <w:abstractNumId w:val="14"/>
  </w:num>
  <w:num w:numId="7">
    <w:abstractNumId w:val="4"/>
  </w:num>
  <w:num w:numId="8">
    <w:abstractNumId w:val="17"/>
  </w:num>
  <w:num w:numId="9">
    <w:abstractNumId w:val="16"/>
  </w:num>
  <w:num w:numId="10">
    <w:abstractNumId w:val="13"/>
  </w:num>
  <w:num w:numId="11">
    <w:abstractNumId w:val="11"/>
  </w:num>
  <w:num w:numId="12">
    <w:abstractNumId w:val="7"/>
  </w:num>
  <w:num w:numId="13">
    <w:abstractNumId w:val="3"/>
  </w:num>
  <w:num w:numId="14">
    <w:abstractNumId w:val="10"/>
  </w:num>
  <w:num w:numId="15">
    <w:abstractNumId w:val="0"/>
  </w:num>
  <w:num w:numId="16">
    <w:abstractNumId w:val="5"/>
  </w:num>
  <w:num w:numId="17">
    <w:abstractNumId w:val="1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249D3"/>
    <w:rsid w:val="00031376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2007"/>
    <w:rsid w:val="00093E71"/>
    <w:rsid w:val="00096244"/>
    <w:rsid w:val="00096378"/>
    <w:rsid w:val="000A18AD"/>
    <w:rsid w:val="000A2920"/>
    <w:rsid w:val="000A3533"/>
    <w:rsid w:val="000A5804"/>
    <w:rsid w:val="000B1EFD"/>
    <w:rsid w:val="000B6D40"/>
    <w:rsid w:val="000D38DB"/>
    <w:rsid w:val="000D4353"/>
    <w:rsid w:val="000E0A1D"/>
    <w:rsid w:val="000E1A7E"/>
    <w:rsid w:val="0010370F"/>
    <w:rsid w:val="0010479B"/>
    <w:rsid w:val="001048F3"/>
    <w:rsid w:val="001103C6"/>
    <w:rsid w:val="00115544"/>
    <w:rsid w:val="0013639C"/>
    <w:rsid w:val="0016238F"/>
    <w:rsid w:val="001634E2"/>
    <w:rsid w:val="00173AEB"/>
    <w:rsid w:val="00176E82"/>
    <w:rsid w:val="00181052"/>
    <w:rsid w:val="00181DD9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4C5F"/>
    <w:rsid w:val="002B1E39"/>
    <w:rsid w:val="002B2130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47073"/>
    <w:rsid w:val="003521D1"/>
    <w:rsid w:val="003525E3"/>
    <w:rsid w:val="0036118B"/>
    <w:rsid w:val="003701CE"/>
    <w:rsid w:val="003722CD"/>
    <w:rsid w:val="0037289E"/>
    <w:rsid w:val="00375CA9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1189"/>
    <w:rsid w:val="004A57E2"/>
    <w:rsid w:val="004A6027"/>
    <w:rsid w:val="004B12F4"/>
    <w:rsid w:val="004B1702"/>
    <w:rsid w:val="004D08DE"/>
    <w:rsid w:val="004D0EEB"/>
    <w:rsid w:val="004D1F3B"/>
    <w:rsid w:val="004D6960"/>
    <w:rsid w:val="004E07CA"/>
    <w:rsid w:val="004E21DC"/>
    <w:rsid w:val="0050084C"/>
    <w:rsid w:val="005027E6"/>
    <w:rsid w:val="00510DC9"/>
    <w:rsid w:val="00515426"/>
    <w:rsid w:val="00521BFC"/>
    <w:rsid w:val="0052780A"/>
    <w:rsid w:val="0054029B"/>
    <w:rsid w:val="00540315"/>
    <w:rsid w:val="00540609"/>
    <w:rsid w:val="00545BAC"/>
    <w:rsid w:val="00550971"/>
    <w:rsid w:val="00556342"/>
    <w:rsid w:val="00563BF7"/>
    <w:rsid w:val="00572D38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14ACC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255A"/>
    <w:rsid w:val="006B4495"/>
    <w:rsid w:val="006C2574"/>
    <w:rsid w:val="006D03D8"/>
    <w:rsid w:val="006D587C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B5A39"/>
    <w:rsid w:val="007C232F"/>
    <w:rsid w:val="007C7DC5"/>
    <w:rsid w:val="007D3CB0"/>
    <w:rsid w:val="007D52B7"/>
    <w:rsid w:val="007E7D16"/>
    <w:rsid w:val="0082306F"/>
    <w:rsid w:val="00823628"/>
    <w:rsid w:val="008330FA"/>
    <w:rsid w:val="00837733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3EF2"/>
    <w:rsid w:val="008B472C"/>
    <w:rsid w:val="008C0064"/>
    <w:rsid w:val="008D73AE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4ACA"/>
    <w:rsid w:val="009759E7"/>
    <w:rsid w:val="00987F3E"/>
    <w:rsid w:val="009966D8"/>
    <w:rsid w:val="009A1F82"/>
    <w:rsid w:val="009B3DAA"/>
    <w:rsid w:val="009C3304"/>
    <w:rsid w:val="009C3949"/>
    <w:rsid w:val="009C6647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E57EF"/>
    <w:rsid w:val="00B15A0B"/>
    <w:rsid w:val="00B165CE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C5E81"/>
    <w:rsid w:val="00BE436E"/>
    <w:rsid w:val="00BF663F"/>
    <w:rsid w:val="00C05E5D"/>
    <w:rsid w:val="00C077DD"/>
    <w:rsid w:val="00C12BFA"/>
    <w:rsid w:val="00C20B78"/>
    <w:rsid w:val="00C241A2"/>
    <w:rsid w:val="00C2528F"/>
    <w:rsid w:val="00C327DC"/>
    <w:rsid w:val="00C372A8"/>
    <w:rsid w:val="00C524E1"/>
    <w:rsid w:val="00C55A39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B4323"/>
    <w:rsid w:val="00CC2785"/>
    <w:rsid w:val="00D03896"/>
    <w:rsid w:val="00D13FFB"/>
    <w:rsid w:val="00D15081"/>
    <w:rsid w:val="00D27CC8"/>
    <w:rsid w:val="00D33BD9"/>
    <w:rsid w:val="00D428B3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39BA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307E2"/>
    <w:rsid w:val="00F3172E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A5E51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A3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58"/>
        <o:r id="V:Rule16" type="connector" idref="#_x0000_s1045"/>
        <o:r id="V:Rule17" type="connector" idref="#_x0000_s1042"/>
        <o:r id="V:Rule18" type="connector" idref="#_x0000_s1046"/>
        <o:r id="V:Rule19" type="connector" idref="#_x0000_s1040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72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D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D3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D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047EB0"/>
    <w:rsid w:val="000B7698"/>
    <w:rsid w:val="00282F70"/>
    <w:rsid w:val="002C46EF"/>
    <w:rsid w:val="00346A11"/>
    <w:rsid w:val="00401C66"/>
    <w:rsid w:val="00462417"/>
    <w:rsid w:val="0053637E"/>
    <w:rsid w:val="00567979"/>
    <w:rsid w:val="005B7907"/>
    <w:rsid w:val="00691D82"/>
    <w:rsid w:val="006B397F"/>
    <w:rsid w:val="006D37C5"/>
    <w:rsid w:val="006D56F1"/>
    <w:rsid w:val="00752FD9"/>
    <w:rsid w:val="00764D2B"/>
    <w:rsid w:val="00820E45"/>
    <w:rsid w:val="008777D8"/>
    <w:rsid w:val="0087795D"/>
    <w:rsid w:val="008960EC"/>
    <w:rsid w:val="008B5E4D"/>
    <w:rsid w:val="009D0A55"/>
    <w:rsid w:val="00B37502"/>
    <w:rsid w:val="00C844BE"/>
    <w:rsid w:val="00CE1085"/>
    <w:rsid w:val="00D52F34"/>
    <w:rsid w:val="00E62584"/>
    <w:rsid w:val="00EC63D3"/>
    <w:rsid w:val="00F036A0"/>
    <w:rsid w:val="00F94F66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E80F2-74A8-4E8F-8DFF-6ACA06172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F0C5E1-1692-49DA-8B23-238F742A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7</cp:revision>
  <dcterms:created xsi:type="dcterms:W3CDTF">2011-10-13T14:22:00Z</dcterms:created>
  <dcterms:modified xsi:type="dcterms:W3CDTF">2012-02-23T14:42:00Z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